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ED" w:rsidRDefault="009A13ED">
      <w:pPr>
        <w:spacing w:line="440" w:lineRule="atLeast"/>
        <w:jc w:val="both"/>
        <w:rPr>
          <w:rFonts w:ascii="Calibri Light" w:hAnsi="Calibri Light" w:cs="Calibri Light"/>
          <w:b/>
          <w:sz w:val="40"/>
          <w:szCs w:val="40"/>
        </w:rPr>
      </w:pPr>
      <w:bookmarkStart w:id="0" w:name="_GoBack"/>
      <w:bookmarkEnd w:id="0"/>
    </w:p>
    <w:p w:rsidR="009A13ED" w:rsidRDefault="009A13ED">
      <w:pPr>
        <w:spacing w:line="440" w:lineRule="atLeast"/>
        <w:jc w:val="both"/>
        <w:rPr>
          <w:rFonts w:ascii="Calibri Light" w:hAnsi="Calibri Light" w:cs="Calibri Light"/>
          <w:b/>
          <w:sz w:val="40"/>
          <w:szCs w:val="40"/>
        </w:rPr>
      </w:pPr>
    </w:p>
    <w:p w:rsidR="009A13ED" w:rsidRDefault="009A13ED">
      <w:pPr>
        <w:spacing w:line="240" w:lineRule="auto"/>
        <w:jc w:val="both"/>
        <w:rPr>
          <w:rFonts w:ascii="Calibri" w:hAnsi="Calibri" w:cs="Calibri"/>
          <w:b/>
          <w:sz w:val="40"/>
          <w:szCs w:val="40"/>
        </w:rPr>
      </w:pPr>
    </w:p>
    <w:p w:rsidR="009A13ED" w:rsidRDefault="00C2292C">
      <w:pPr>
        <w:spacing w:line="240" w:lineRule="auto"/>
        <w:jc w:val="both"/>
        <w:rPr>
          <w:rFonts w:ascii="Calibri" w:hAnsi="Calibri" w:cs="Calibri"/>
        </w:rPr>
      </w:pPr>
      <w:r>
        <w:rPr>
          <w:rFonts w:ascii="Calibri" w:hAnsi="Calibri" w:cs="Calibri"/>
          <w:b/>
          <w:sz w:val="40"/>
          <w:szCs w:val="40"/>
        </w:rPr>
        <w:t>PRESSEMITTEILUNG</w:t>
      </w:r>
    </w:p>
    <w:p w:rsidR="009A13ED" w:rsidRDefault="009A13ED">
      <w:pPr>
        <w:spacing w:line="240" w:lineRule="auto"/>
        <w:jc w:val="both"/>
        <w:rPr>
          <w:rFonts w:ascii="Calibri" w:eastAsia="Arial" w:hAnsi="Calibri" w:cs="Calibri"/>
          <w:b/>
          <w:sz w:val="32"/>
          <w:szCs w:val="32"/>
        </w:rPr>
      </w:pPr>
    </w:p>
    <w:p w:rsidR="009A13ED" w:rsidRDefault="00C2292C">
      <w:pPr>
        <w:spacing w:line="240" w:lineRule="auto"/>
        <w:jc w:val="both"/>
        <w:rPr>
          <w:rFonts w:asciiTheme="minorHAnsi" w:eastAsia="Arial" w:hAnsiTheme="minorHAnsi" w:cstheme="minorHAnsi"/>
          <w:bCs/>
          <w:color w:val="000000"/>
          <w:sz w:val="28"/>
          <w:szCs w:val="28"/>
        </w:rPr>
      </w:pPr>
      <w:r>
        <w:rPr>
          <w:rFonts w:asciiTheme="minorHAnsi" w:eastAsia="Arial" w:hAnsiTheme="minorHAnsi" w:cstheme="minorHAnsi"/>
          <w:color w:val="000000"/>
          <w:sz w:val="28"/>
          <w:szCs w:val="28"/>
        </w:rPr>
        <w:t xml:space="preserve">Überprüfung der Fahrtauglichkeit bei Demenz: </w:t>
      </w:r>
    </w:p>
    <w:p w:rsidR="009A13ED" w:rsidRDefault="00C2292C">
      <w:pPr>
        <w:spacing w:line="240" w:lineRule="auto"/>
        <w:jc w:val="both"/>
        <w:rPr>
          <w:rFonts w:asciiTheme="minorHAnsi" w:eastAsia="Arial" w:hAnsiTheme="minorHAnsi" w:cstheme="minorHAnsi"/>
          <w:b/>
          <w:color w:val="000000"/>
          <w:sz w:val="32"/>
          <w:szCs w:val="32"/>
        </w:rPr>
      </w:pPr>
      <w:r>
        <w:rPr>
          <w:rFonts w:asciiTheme="minorHAnsi" w:eastAsia="Arial" w:hAnsiTheme="minorHAnsi" w:cstheme="minorHAnsi"/>
          <w:b/>
          <w:color w:val="000000"/>
          <w:sz w:val="32"/>
        </w:rPr>
        <w:t>Der Mix aus Praxis und Theorie macht’s</w:t>
      </w:r>
    </w:p>
    <w:p w:rsidR="009A13ED" w:rsidRDefault="009A13ED">
      <w:pPr>
        <w:spacing w:line="240" w:lineRule="auto"/>
        <w:jc w:val="both"/>
        <w:rPr>
          <w:rFonts w:ascii="Calibri" w:eastAsia="Arial" w:hAnsi="Calibri" w:cs="Calibri"/>
          <w:b/>
          <w:sz w:val="32"/>
          <w:szCs w:val="32"/>
        </w:rPr>
      </w:pPr>
    </w:p>
    <w:p w:rsidR="009A13ED" w:rsidRDefault="00C2292C">
      <w:pPr>
        <w:spacing w:line="240" w:lineRule="auto"/>
        <w:jc w:val="both"/>
        <w:rPr>
          <w:rFonts w:ascii="Calibri" w:eastAsia="Arial" w:hAnsi="Calibri" w:cs="Calibri"/>
          <w:sz w:val="24"/>
        </w:rPr>
      </w:pPr>
      <w:r>
        <w:rPr>
          <w:rFonts w:ascii="Calibri" w:eastAsia="Arial" w:hAnsi="Calibri" w:cs="Calibri"/>
          <w:sz w:val="24"/>
        </w:rPr>
        <w:t>17.02.2022</w:t>
      </w:r>
    </w:p>
    <w:p w:rsidR="009A13ED" w:rsidRDefault="009A13ED">
      <w:pPr>
        <w:spacing w:line="240" w:lineRule="auto"/>
        <w:jc w:val="both"/>
        <w:rPr>
          <w:rFonts w:ascii="Calibri" w:eastAsia="Arial" w:hAnsi="Calibri" w:cs="Calibri"/>
          <w:b/>
          <w:sz w:val="24"/>
        </w:rPr>
      </w:pPr>
    </w:p>
    <w:p w:rsidR="009A13ED" w:rsidRDefault="00C2292C">
      <w:pPr>
        <w:pStyle w:val="2588"/>
        <w:widowControl w:val="0"/>
        <w:spacing w:before="0" w:beforeAutospacing="0" w:after="0" w:afterAutospacing="0"/>
        <w:rPr>
          <w:rFonts w:asciiTheme="minorHAnsi" w:eastAsia="Arial" w:hAnsiTheme="minorHAnsi" w:cstheme="minorHAnsi"/>
          <w:b/>
        </w:rPr>
      </w:pPr>
      <w:r>
        <w:rPr>
          <w:rFonts w:asciiTheme="minorHAnsi" w:eastAsia="Arial" w:hAnsiTheme="minorHAnsi" w:cstheme="minorHAnsi"/>
          <w:b/>
          <w:color w:val="000000"/>
        </w:rPr>
        <w:t>Schreitet eine Demenzerkrankung fort, bedeutet dies für Betroffene ab einem bestimmten Zeitpunkt: Das Auto bleibt fortan in der Garage. Doch wie lässt sich die Fahrtauglichkeit zuverlässig überprüfen? Wissenschaftler*innen am Interdisziplinären Zentrum für Health Technology Assessment (HTA) und Public Health der Friedrich-Alexander-Universität Erlangen-Nürnberg (FAU</w:t>
      </w:r>
      <w:r>
        <w:rPr>
          <w:rFonts w:asciiTheme="minorHAnsi" w:eastAsia="Arial" w:hAnsiTheme="minorHAnsi" w:cstheme="minorHAnsi"/>
          <w:b/>
        </w:rPr>
        <w:t>) haben dazu neue Erkenntnisse gewonnen.</w:t>
      </w:r>
    </w:p>
    <w:p w:rsidR="009A13ED" w:rsidRDefault="00C2292C">
      <w:pPr>
        <w:pBdr>
          <w:top w:val="none" w:sz="4" w:space="0" w:color="000000"/>
          <w:left w:val="none" w:sz="4" w:space="0" w:color="000000"/>
          <w:bottom w:val="none" w:sz="4" w:space="0" w:color="000000"/>
          <w:right w:val="none" w:sz="4" w:space="0" w:color="000000"/>
        </w:pBdr>
        <w:spacing w:after="200"/>
        <w:rPr>
          <w:sz w:val="24"/>
        </w:rPr>
      </w:pPr>
      <w:r>
        <w:rPr>
          <w:rFonts w:ascii="Times New Roman" w:hAnsi="Times New Roman"/>
          <w:color w:val="000000"/>
          <w:sz w:val="24"/>
        </w:rPr>
        <w:t> </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hAnsiTheme="minorHAnsi" w:cstheme="minorHAnsi"/>
          <w:sz w:val="24"/>
        </w:rPr>
      </w:pPr>
      <w:r>
        <w:rPr>
          <w:rFonts w:asciiTheme="minorHAnsi" w:eastAsia="Arial" w:hAnsiTheme="minorHAnsi" w:cstheme="minorHAnsi"/>
          <w:color w:val="000000"/>
          <w:sz w:val="24"/>
        </w:rPr>
        <w:t xml:space="preserve">Das Autofahren klappt schon noch! Oder doch nicht? Mehr als 1,6 Millionen Menschen mit Demenz leben derzeit in Deutschland, bis 2050 wird die Zahl voraussichtlich </w:t>
      </w:r>
      <w:r>
        <w:rPr>
          <w:rFonts w:asciiTheme="minorHAnsi" w:eastAsia="Arial" w:hAnsiTheme="minorHAnsi" w:cstheme="minorHAnsi"/>
          <w:sz w:val="24"/>
        </w:rPr>
        <w:t>auf 2,7 Millionen Menschen steigen</w:t>
      </w:r>
      <w:r>
        <w:rPr>
          <w:rFonts w:asciiTheme="minorHAnsi" w:hAnsiTheme="minorHAnsi" w:cstheme="minorHAnsi"/>
          <w:sz w:val="24"/>
        </w:rPr>
        <w:t xml:space="preserve">. </w:t>
      </w:r>
      <w:r>
        <w:rPr>
          <w:rFonts w:asciiTheme="minorHAnsi" w:eastAsia="Arial" w:hAnsiTheme="minorHAnsi" w:cstheme="minorHAnsi"/>
          <w:sz w:val="24"/>
        </w:rPr>
        <w:t xml:space="preserve">Mit der vorausgesagten Zunahme demenzieller Erkrankungen </w:t>
      </w:r>
      <w:r>
        <w:rPr>
          <w:rFonts w:asciiTheme="minorHAnsi" w:eastAsia="Arial" w:hAnsiTheme="minorHAnsi" w:cstheme="minorHAnsi"/>
          <w:color w:val="000000"/>
          <w:sz w:val="24"/>
        </w:rPr>
        <w:t>rückt ein Thema von großer gesellschaftlicher Bedeutung in den Mittelpunkt: die Frage nach der Fahrtauglichkeit älterer Menschen.</w:t>
      </w:r>
    </w:p>
    <w:p w:rsidR="009A13ED" w:rsidRDefault="00C2292C">
      <w:pPr>
        <w:pBdr>
          <w:top w:val="none" w:sz="4" w:space="0" w:color="000000"/>
          <w:left w:val="none" w:sz="4" w:space="0" w:color="000000"/>
          <w:bottom w:val="none" w:sz="4" w:space="0" w:color="000000"/>
          <w:right w:val="none" w:sz="4" w:space="0" w:color="000000"/>
        </w:pBdr>
        <w:rPr>
          <w:rFonts w:asciiTheme="minorHAnsi" w:hAnsiTheme="minorHAnsi" w:cstheme="minorHAnsi"/>
          <w:sz w:val="24"/>
        </w:rPr>
      </w:pPr>
      <w:r>
        <w:rPr>
          <w:rFonts w:asciiTheme="minorHAnsi" w:eastAsia="Arial" w:hAnsiTheme="minorHAnsi" w:cstheme="minorHAnsi"/>
          <w:sz w:val="24"/>
        </w:rPr>
        <w:t xml:space="preserve">Wissenschaftlich ist erwiesen, dass die ersten Anzeichen einer Demenz sich schon sehr früh bemerkbar machen: Wie schnell übersieht man ein Verkehrszeichen oder schätzt die Geschwindigkeit falsch ein. Im Straßenverkehr können solche kognitiven Einschränkungen fatale Auswirkungen haben. Umso wichtiger ist es, frühzeitig die Fahrtauglichkeit zuverlässig überprüfen zu lassen. Wie dies geschehen sollte, haben nun Wissenschaftler*innen </w:t>
      </w:r>
      <w:r>
        <w:rPr>
          <w:rFonts w:asciiTheme="minorHAnsi" w:eastAsia="Arial" w:hAnsiTheme="minorHAnsi" w:cstheme="minorHAnsi"/>
          <w:color w:val="000000"/>
          <w:sz w:val="24"/>
        </w:rPr>
        <w:t>am Interdisziplinären Zentrum für Health Technology Assessment (HTA) und Public Health der Friedrich-Alexander-Universität Erlangen-Nürnberg im Rahmen des Forschungsprojektes digiDEM Bayern untersucht.</w:t>
      </w:r>
    </w:p>
    <w:p w:rsidR="009A13ED" w:rsidRDefault="009A13ED">
      <w:pPr>
        <w:pBdr>
          <w:top w:val="none" w:sz="4" w:space="0" w:color="000000"/>
          <w:left w:val="none" w:sz="4" w:space="0" w:color="000000"/>
          <w:bottom w:val="none" w:sz="4" w:space="0" w:color="000000"/>
          <w:right w:val="none" w:sz="4" w:space="0" w:color="000000"/>
        </w:pBdr>
        <w:rPr>
          <w:rFonts w:asciiTheme="minorHAnsi" w:eastAsia="Arial" w:hAnsiTheme="minorHAnsi" w:cstheme="minorHAnsi"/>
          <w:sz w:val="24"/>
        </w:rPr>
      </w:pP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hAnsiTheme="minorHAnsi" w:cstheme="minorHAnsi"/>
          <w:sz w:val="24"/>
        </w:rPr>
      </w:pPr>
      <w:r>
        <w:rPr>
          <w:rFonts w:asciiTheme="minorHAnsi" w:eastAsia="Arial" w:hAnsiTheme="minorHAnsi" w:cstheme="minorHAnsi"/>
          <w:color w:val="000000"/>
          <w:sz w:val="24"/>
        </w:rPr>
        <w:t>In der Studie kommt Linda Karrer mit ihrem Team von Wissenschaftler*innen zu dem Schluss: “Um die Fahrtauglichkeit von Menschen mit Demenz zu bestimmen, reichen einzelne neuropsychologische Tests nicht aus.” In der aktuellen Veröffentlichung von Februar 2022 empfiehlt die Forscherin: “Praxisorientierte Fahrtests haben gegenüber psychologischen Untersuchungen eine höhere Aussagekraft.”</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hAnsiTheme="minorHAnsi" w:cstheme="minorHAnsi"/>
          <w:sz w:val="24"/>
        </w:rPr>
      </w:pPr>
      <w:r>
        <w:rPr>
          <w:rFonts w:asciiTheme="minorHAnsi" w:eastAsia="Arial" w:hAnsiTheme="minorHAnsi" w:cstheme="minorHAnsi"/>
          <w:b/>
          <w:color w:val="000000"/>
          <w:sz w:val="24"/>
        </w:rPr>
        <w:t xml:space="preserve">Mehr als 2200 internationale Studien gesichtet </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r>
        <w:rPr>
          <w:rFonts w:asciiTheme="minorHAnsi" w:eastAsia="Arial" w:hAnsiTheme="minorHAnsi" w:cstheme="minorHAnsi"/>
          <w:color w:val="000000"/>
          <w:sz w:val="24"/>
        </w:rPr>
        <w:t xml:space="preserve">Gemeinsam mit </w:t>
      </w:r>
      <w:proofErr w:type="gramStart"/>
      <w:r>
        <w:rPr>
          <w:rFonts w:asciiTheme="minorHAnsi" w:eastAsia="Arial" w:hAnsiTheme="minorHAnsi" w:cstheme="minorHAnsi"/>
          <w:color w:val="000000"/>
          <w:sz w:val="24"/>
        </w:rPr>
        <w:t>ihren Kolleg</w:t>
      </w:r>
      <w:proofErr w:type="gramEnd"/>
      <w:r>
        <w:rPr>
          <w:rFonts w:asciiTheme="minorHAnsi" w:eastAsia="Arial" w:hAnsiTheme="minorHAnsi" w:cstheme="minorHAnsi"/>
          <w:color w:val="000000"/>
          <w:sz w:val="24"/>
        </w:rPr>
        <w:t xml:space="preserve">*innen ging Autorin Linda Karrer der Frage nach, welche wissenschaftlich abgesicherten Methoden geeignet sind, um die Fahrtauglichkeit von Menschen mit Demenz oder Menschen mit milden kognitiven Einschränkungen (Mild </w:t>
      </w:r>
      <w:proofErr w:type="spellStart"/>
      <w:r>
        <w:rPr>
          <w:rFonts w:asciiTheme="minorHAnsi" w:eastAsia="Arial" w:hAnsiTheme="minorHAnsi" w:cstheme="minorHAnsi"/>
          <w:color w:val="000000"/>
          <w:sz w:val="24"/>
        </w:rPr>
        <w:t>Cognitive</w:t>
      </w:r>
      <w:proofErr w:type="spellEnd"/>
      <w:r>
        <w:rPr>
          <w:rFonts w:asciiTheme="minorHAnsi" w:eastAsia="Arial" w:hAnsiTheme="minorHAnsi" w:cstheme="minorHAnsi"/>
          <w:color w:val="000000"/>
          <w:sz w:val="24"/>
        </w:rPr>
        <w:t xml:space="preserve"> </w:t>
      </w:r>
      <w:proofErr w:type="spellStart"/>
      <w:r>
        <w:rPr>
          <w:rFonts w:asciiTheme="minorHAnsi" w:eastAsia="Arial" w:hAnsiTheme="minorHAnsi" w:cstheme="minorHAnsi"/>
          <w:color w:val="000000"/>
          <w:sz w:val="24"/>
        </w:rPr>
        <w:t>Impairments</w:t>
      </w:r>
      <w:proofErr w:type="spellEnd"/>
      <w:r>
        <w:rPr>
          <w:rFonts w:asciiTheme="minorHAnsi" w:eastAsia="Arial" w:hAnsiTheme="minorHAnsi" w:cstheme="minorHAnsi"/>
          <w:color w:val="000000"/>
          <w:sz w:val="24"/>
        </w:rPr>
        <w:t xml:space="preserve">, MCI) zu beurteilen. Die systematische Übersichtsarbeit (Review) gibt dabei einen umfassenden Überblick über den aktuellen Stand der weltweiten Fachliteratur. </w:t>
      </w:r>
    </w:p>
    <w:p w:rsidR="009A13ED" w:rsidRDefault="009A13ED">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p>
    <w:p w:rsidR="009A13ED" w:rsidRDefault="009A13ED">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p>
    <w:p w:rsidR="009A13ED" w:rsidRDefault="009A13ED">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r>
        <w:rPr>
          <w:rFonts w:asciiTheme="minorHAnsi" w:eastAsia="Arial" w:hAnsiTheme="minorHAnsi" w:cstheme="minorHAnsi"/>
          <w:color w:val="000000"/>
          <w:sz w:val="24"/>
        </w:rPr>
        <w:t xml:space="preserve">So sichtete das Forscherteam zunächst insgesamt 2225 wissenschaftliche Arbeiten. Im nächsten Schritt wurden </w:t>
      </w:r>
      <w:r>
        <w:rPr>
          <w:rFonts w:asciiTheme="minorHAnsi" w:eastAsia="Arial" w:hAnsiTheme="minorHAnsi" w:cstheme="minorHAnsi"/>
          <w:sz w:val="24"/>
        </w:rPr>
        <w:t xml:space="preserve">30 ausgewählte Studien </w:t>
      </w:r>
      <w:r>
        <w:rPr>
          <w:rFonts w:asciiTheme="minorHAnsi" w:eastAsia="Arial" w:hAnsiTheme="minorHAnsi" w:cstheme="minorHAnsi"/>
          <w:color w:val="000000"/>
          <w:sz w:val="24"/>
        </w:rPr>
        <w:t>aus USA, Australien, Griechenland, Argentinien, Niederlande, Kanada, Österreich, Frankreich und Deutschland untersucht und analysiert.</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r>
        <w:rPr>
          <w:rFonts w:asciiTheme="minorHAnsi" w:eastAsia="Arial" w:hAnsiTheme="minorHAnsi" w:cstheme="minorHAnsi"/>
          <w:color w:val="000000"/>
          <w:sz w:val="24"/>
        </w:rPr>
        <w:t>So wird nach aktuellem Stand der Wissenschaft zwischen praxisorientierten Testverfahren und theoriebasierten Methoden unterschieden. So zählen die Fachleute zum Beispiel Praxisfahrtests, Fahrsimulatoren oder das Beobachten des Fahrens im natürlichen Umfeld zu den praxisorientierten Testverfahren, um die Fahrsicherheit zu überprüfen.</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r>
        <w:rPr>
          <w:rFonts w:asciiTheme="minorHAnsi" w:eastAsia="Arial" w:hAnsiTheme="minorHAnsi" w:cstheme="minorHAnsi"/>
          <w:color w:val="000000"/>
          <w:sz w:val="24"/>
        </w:rPr>
        <w:t xml:space="preserve">Demgegenüber werden bei theoriebasierten Methode spezielle neuropsychologische Tests angewendet wie etwa der sogenannte Mini Mental Status Test. Erfasst </w:t>
      </w:r>
      <w:proofErr w:type="gramStart"/>
      <w:r>
        <w:rPr>
          <w:rFonts w:asciiTheme="minorHAnsi" w:eastAsia="Arial" w:hAnsiTheme="minorHAnsi" w:cstheme="minorHAnsi"/>
          <w:color w:val="000000"/>
          <w:sz w:val="24"/>
        </w:rPr>
        <w:t>wird</w:t>
      </w:r>
      <w:proofErr w:type="gramEnd"/>
      <w:r>
        <w:rPr>
          <w:rFonts w:asciiTheme="minorHAnsi" w:eastAsia="Arial" w:hAnsiTheme="minorHAnsi" w:cstheme="minorHAnsi"/>
          <w:color w:val="000000"/>
          <w:sz w:val="24"/>
        </w:rPr>
        <w:t xml:space="preserve"> hierbei etwa die zeitliche und örtliche Orientierung, die Merkfähigkeit und das Kurzzeitgedächtnis. </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hAnsiTheme="minorHAnsi" w:cstheme="minorHAnsi"/>
          <w:sz w:val="24"/>
        </w:rPr>
      </w:pPr>
      <w:r>
        <w:rPr>
          <w:rFonts w:asciiTheme="minorHAnsi" w:eastAsia="Arial" w:hAnsiTheme="minorHAnsi" w:cstheme="minorHAnsi"/>
          <w:b/>
          <w:color w:val="000000"/>
          <w:sz w:val="24"/>
        </w:rPr>
        <w:t>Kombination aus Theorie- und Praxistests</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hAnsiTheme="minorHAnsi" w:cstheme="minorHAnsi"/>
          <w:sz w:val="24"/>
        </w:rPr>
      </w:pPr>
      <w:r>
        <w:rPr>
          <w:rFonts w:asciiTheme="minorHAnsi" w:eastAsia="Arial" w:hAnsiTheme="minorHAnsi" w:cstheme="minorHAnsi"/>
          <w:color w:val="000000"/>
          <w:sz w:val="24"/>
        </w:rPr>
        <w:t xml:space="preserve">Eine Demenzerkrankung verläuft fortschreitend. „Deshalb sollte die Fahrtauglichkeit von Menschen mit kognitiven Beeinträchtigungen engmaschig durch eine Kombination aus theorie- und praxisbasierter Methoden überprüft werden“, unterstreicht der Neurologe </w:t>
      </w:r>
      <w:r>
        <w:rPr>
          <w:rFonts w:asciiTheme="minorHAnsi" w:hAnsiTheme="minorHAnsi" w:cstheme="minorHAnsi"/>
          <w:sz w:val="24"/>
        </w:rPr>
        <w:t>Prof. Peter Kolominsky-Rabas</w:t>
      </w:r>
      <w:r>
        <w:rPr>
          <w:rFonts w:asciiTheme="minorHAnsi" w:eastAsia="Arial" w:hAnsiTheme="minorHAnsi" w:cstheme="minorHAnsi"/>
          <w:color w:val="000000"/>
          <w:sz w:val="24"/>
        </w:rPr>
        <w:t xml:space="preserve">, </w:t>
      </w:r>
      <w:r>
        <w:rPr>
          <w:rFonts w:asciiTheme="minorHAnsi" w:hAnsiTheme="minorHAnsi" w:cstheme="minorHAnsi"/>
          <w:sz w:val="24"/>
        </w:rPr>
        <w:t>Leiter des IZPH und einer der Projektleiter von digiDEM Bayern.</w:t>
      </w:r>
    </w:p>
    <w:p w:rsidR="009A13ED" w:rsidRDefault="009A13ED">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r>
        <w:rPr>
          <w:rFonts w:asciiTheme="minorHAnsi" w:eastAsia="Arial" w:hAnsiTheme="minorHAnsi" w:cstheme="minorHAnsi"/>
          <w:color w:val="000000"/>
          <w:sz w:val="24"/>
        </w:rPr>
        <w:t>Hier befindet sich die Studie im Original:</w:t>
      </w:r>
    </w:p>
    <w:p w:rsidR="009A13ED" w:rsidRDefault="00C2292C">
      <w:pPr>
        <w:pBdr>
          <w:top w:val="none" w:sz="4" w:space="0" w:color="000000"/>
          <w:left w:val="none" w:sz="4" w:space="0" w:color="000000"/>
          <w:bottom w:val="none" w:sz="4" w:space="0" w:color="000000"/>
          <w:right w:val="none" w:sz="4" w:space="0" w:color="000000"/>
        </w:pBdr>
        <w:spacing w:after="200"/>
        <w:rPr>
          <w:rFonts w:asciiTheme="minorHAnsi" w:eastAsia="Arial" w:hAnsiTheme="minorHAnsi" w:cstheme="minorHAnsi"/>
          <w:color w:val="000000"/>
          <w:sz w:val="24"/>
        </w:rPr>
      </w:pPr>
      <w:r>
        <w:rPr>
          <w:rFonts w:asciiTheme="minorHAnsi" w:hAnsiTheme="minorHAnsi" w:cstheme="minorHAnsi"/>
          <w:sz w:val="24"/>
        </w:rPr>
        <w:t>https://www.thieme-connect.de/products/ejournals/abstract/10.1055/a-1690-6940</w:t>
      </w:r>
    </w:p>
    <w:p w:rsidR="009A13ED" w:rsidRDefault="009A13ED">
      <w:pPr>
        <w:pStyle w:val="StandardWeb"/>
        <w:widowControl w:val="0"/>
        <w:spacing w:before="0" w:beforeAutospacing="0" w:after="0" w:afterAutospacing="0"/>
        <w:jc w:val="both"/>
        <w:rPr>
          <w:rStyle w:val="Italic"/>
          <w:rFonts w:ascii="Calibri" w:hAnsi="Calibri"/>
        </w:rPr>
      </w:pPr>
    </w:p>
    <w:p w:rsidR="009A13ED" w:rsidRDefault="009A13ED">
      <w:pPr>
        <w:pStyle w:val="StandardWeb"/>
        <w:widowControl w:val="0"/>
        <w:spacing w:before="0" w:beforeAutospacing="0" w:after="0" w:afterAutospacing="0"/>
        <w:jc w:val="both"/>
        <w:rPr>
          <w:rStyle w:val="Italic"/>
          <w:rFonts w:ascii="Calibri" w:hAnsi="Calibri"/>
        </w:rPr>
      </w:pPr>
    </w:p>
    <w:p w:rsidR="009A13ED" w:rsidRDefault="00C2292C">
      <w:pPr>
        <w:pStyle w:val="StandardWeb"/>
        <w:widowControl w:val="0"/>
        <w:spacing w:before="0" w:beforeAutospacing="0" w:after="0" w:afterAutospacing="0"/>
        <w:jc w:val="both"/>
        <w:rPr>
          <w:rFonts w:ascii="Calibri" w:hAnsi="Calibri"/>
          <w:i/>
        </w:rPr>
      </w:pPr>
      <w:r>
        <w:rPr>
          <w:rFonts w:ascii="Calibri" w:hAnsi="Calibri"/>
          <w:i/>
        </w:rPr>
        <w:t>Über eine Berichterstattung würden wir uns sehr freuen.</w:t>
      </w:r>
    </w:p>
    <w:p w:rsidR="009A13ED" w:rsidRDefault="009A13ED">
      <w:pPr>
        <w:spacing w:line="276" w:lineRule="auto"/>
        <w:jc w:val="both"/>
        <w:rPr>
          <w:rStyle w:val="Italic"/>
          <w:rFonts w:ascii="Calibri" w:eastAsia="Arial" w:hAnsi="Calibri" w:cs="Arial"/>
          <w:sz w:val="24"/>
          <w:u w:val="single"/>
        </w:rPr>
      </w:pPr>
    </w:p>
    <w:p w:rsidR="009A13ED" w:rsidRDefault="009A13ED">
      <w:pPr>
        <w:spacing w:line="276" w:lineRule="auto"/>
        <w:jc w:val="both"/>
        <w:rPr>
          <w:rStyle w:val="Italic"/>
          <w:rFonts w:ascii="Calibri" w:eastAsia="Arial" w:hAnsi="Calibri" w:cs="Arial"/>
          <w:szCs w:val="20"/>
          <w:u w:val="single"/>
        </w:rPr>
      </w:pPr>
    </w:p>
    <w:p w:rsidR="00C87AE2" w:rsidRDefault="00C87AE2" w:rsidP="00C87AE2">
      <w:pPr>
        <w:rPr>
          <w:rFonts w:asciiTheme="minorHAnsi" w:hAnsiTheme="minorHAnsi" w:cstheme="minorHAnsi"/>
          <w:b/>
          <w:sz w:val="24"/>
        </w:rPr>
      </w:pPr>
      <w:r>
        <w:rPr>
          <w:rFonts w:asciiTheme="minorHAnsi" w:hAnsiTheme="minorHAnsi" w:cstheme="minorHAnsi"/>
          <w:b/>
          <w:sz w:val="24"/>
        </w:rPr>
        <w:t>Pressekontakt:</w:t>
      </w:r>
    </w:p>
    <w:p w:rsidR="00C87AE2" w:rsidRDefault="00C87AE2" w:rsidP="00C87AE2">
      <w:pPr>
        <w:rPr>
          <w:rFonts w:asciiTheme="minorHAnsi" w:hAnsiTheme="minorHAnsi" w:cstheme="minorHAnsi"/>
          <w:b/>
          <w:sz w:val="24"/>
        </w:rPr>
      </w:pPr>
    </w:p>
    <w:p w:rsidR="00C87AE2" w:rsidRDefault="00C87AE2" w:rsidP="00C87AE2">
      <w:pPr>
        <w:pStyle w:val="StandardWeb"/>
        <w:spacing w:before="0" w:beforeAutospacing="0" w:after="0" w:afterAutospacing="0" w:line="271" w:lineRule="auto"/>
        <w:jc w:val="both"/>
        <w:rPr>
          <w:rFonts w:asciiTheme="minorHAnsi" w:hAnsiTheme="minorHAnsi" w:cstheme="minorHAnsi"/>
        </w:rPr>
      </w:pPr>
      <w:r>
        <w:rPr>
          <w:rFonts w:asciiTheme="minorHAnsi" w:hAnsiTheme="minorHAnsi" w:cstheme="minorHAnsi"/>
          <w:color w:val="000000"/>
        </w:rPr>
        <w:t>Ilona Hörath</w:t>
      </w:r>
    </w:p>
    <w:p w:rsidR="00C87AE2" w:rsidRDefault="00C87AE2" w:rsidP="00C87AE2">
      <w:pPr>
        <w:pStyle w:val="StandardWeb"/>
        <w:spacing w:before="0" w:beforeAutospacing="0" w:after="0" w:afterAutospacing="0" w:line="271" w:lineRule="auto"/>
        <w:jc w:val="both"/>
        <w:rPr>
          <w:rFonts w:asciiTheme="minorHAnsi" w:hAnsiTheme="minorHAnsi" w:cstheme="minorHAnsi"/>
        </w:rPr>
      </w:pPr>
      <w:r>
        <w:rPr>
          <w:rFonts w:asciiTheme="minorHAnsi" w:hAnsiTheme="minorHAnsi" w:cstheme="minorHAnsi"/>
          <w:color w:val="000000"/>
        </w:rPr>
        <w:t>Pressereferentin</w:t>
      </w:r>
    </w:p>
    <w:p w:rsidR="00C87AE2" w:rsidRDefault="00C87AE2" w:rsidP="00C87AE2">
      <w:pPr>
        <w:pStyle w:val="StandardWeb"/>
        <w:spacing w:before="0" w:beforeAutospacing="0" w:after="0" w:afterAutospacing="0"/>
        <w:rPr>
          <w:rFonts w:asciiTheme="minorHAnsi" w:hAnsiTheme="minorHAnsi" w:cstheme="minorHAnsi"/>
        </w:rPr>
      </w:pPr>
      <w:r>
        <w:rPr>
          <w:rFonts w:asciiTheme="minorHAnsi" w:hAnsiTheme="minorHAnsi" w:cstheme="minorHAnsi"/>
          <w:color w:val="000000"/>
        </w:rPr>
        <w:t>Tel:</w:t>
      </w:r>
      <w:r>
        <w:rPr>
          <w:rFonts w:asciiTheme="minorHAnsi" w:hAnsiTheme="minorHAnsi" w:cstheme="minorHAnsi"/>
          <w:color w:val="000000"/>
        </w:rPr>
        <w:tab/>
      </w:r>
      <w:r>
        <w:rPr>
          <w:rFonts w:asciiTheme="minorHAnsi" w:hAnsiTheme="minorHAnsi" w:cstheme="minorHAnsi"/>
          <w:color w:val="000000"/>
        </w:rPr>
        <w:tab/>
        <w:t>+49-9131-85-35858</w:t>
      </w:r>
    </w:p>
    <w:p w:rsidR="00C87AE2" w:rsidRDefault="00C87AE2" w:rsidP="00C87AE2">
      <w:pPr>
        <w:pStyle w:val="StandardWeb"/>
        <w:spacing w:before="0" w:beforeAutospacing="0" w:after="0" w:afterAutospacing="0"/>
        <w:rPr>
          <w:rFonts w:asciiTheme="minorHAnsi" w:hAnsiTheme="minorHAnsi" w:cstheme="minorHAnsi"/>
        </w:rPr>
      </w:pPr>
      <w:r>
        <w:rPr>
          <w:rFonts w:asciiTheme="minorHAnsi" w:hAnsiTheme="minorHAnsi" w:cstheme="minorHAnsi"/>
          <w:color w:val="000000"/>
        </w:rPr>
        <w:t>Mobil:</w:t>
      </w:r>
      <w:r>
        <w:rPr>
          <w:rFonts w:asciiTheme="minorHAnsi" w:hAnsiTheme="minorHAnsi" w:cstheme="minorHAnsi"/>
          <w:color w:val="000000"/>
        </w:rPr>
        <w:tab/>
      </w:r>
      <w:r>
        <w:rPr>
          <w:rFonts w:asciiTheme="minorHAnsi" w:hAnsiTheme="minorHAnsi" w:cstheme="minorHAnsi"/>
          <w:color w:val="000000"/>
        </w:rPr>
        <w:tab/>
        <w:t>+49 163-883 884 5</w:t>
      </w:r>
    </w:p>
    <w:p w:rsidR="00C87AE2" w:rsidRDefault="00C87AE2" w:rsidP="00C87AE2">
      <w:pPr>
        <w:pStyle w:val="StandardWeb"/>
        <w:spacing w:before="0" w:beforeAutospacing="0" w:after="0" w:afterAutospacing="0"/>
        <w:rPr>
          <w:rStyle w:val="Hyperlink"/>
          <w:rFonts w:eastAsia="Arial"/>
          <w:color w:val="000000"/>
        </w:rPr>
      </w:pPr>
      <w:r>
        <w:rPr>
          <w:rFonts w:asciiTheme="minorHAnsi" w:hAnsiTheme="minorHAnsi" w:cstheme="minorHAnsi"/>
          <w:color w:val="000000"/>
        </w:rPr>
        <w:t>E-Mail:</w:t>
      </w:r>
      <w:r>
        <w:rPr>
          <w:rFonts w:asciiTheme="minorHAnsi" w:hAnsiTheme="minorHAnsi" w:cstheme="minorHAnsi"/>
          <w:color w:val="000000"/>
        </w:rPr>
        <w:tab/>
      </w:r>
      <w:r>
        <w:rPr>
          <w:rFonts w:asciiTheme="minorHAnsi" w:hAnsiTheme="minorHAnsi" w:cstheme="minorHAnsi"/>
          <w:color w:val="000000"/>
        </w:rPr>
        <w:tab/>
      </w:r>
      <w:hyperlink r:id="rId7" w:tooltip="mailto:ilona.hoerath@fau.de" w:history="1">
        <w:r>
          <w:rPr>
            <w:rStyle w:val="Hyperlink"/>
            <w:rFonts w:asciiTheme="minorHAnsi" w:eastAsia="Arial" w:hAnsiTheme="minorHAnsi" w:cstheme="minorHAnsi"/>
            <w:color w:val="000000"/>
          </w:rPr>
          <w:t>ilona.hoerath@fau.de</w:t>
        </w:r>
      </w:hyperlink>
      <w:r>
        <w:rPr>
          <w:rFonts w:asciiTheme="minorHAnsi" w:hAnsiTheme="minorHAnsi" w:cstheme="minorHAnsi"/>
          <w:color w:val="000000"/>
        </w:rPr>
        <w:br/>
        <w:t>Web:       </w:t>
      </w:r>
      <w:r>
        <w:rPr>
          <w:rFonts w:asciiTheme="minorHAnsi" w:hAnsiTheme="minorHAnsi" w:cstheme="minorHAnsi"/>
          <w:color w:val="000000"/>
        </w:rPr>
        <w:tab/>
      </w:r>
      <w:hyperlink r:id="rId8" w:tooltip="http://www.digidem-bayern.de/" w:history="1">
        <w:r>
          <w:rPr>
            <w:rStyle w:val="Hyperlink"/>
            <w:rFonts w:asciiTheme="minorHAnsi" w:eastAsia="Arial" w:hAnsiTheme="minorHAnsi" w:cstheme="minorHAnsi"/>
            <w:color w:val="000000"/>
          </w:rPr>
          <w:t>www.digidem-bayern.de</w:t>
        </w:r>
      </w:hyperlink>
    </w:p>
    <w:p w:rsidR="00C87AE2" w:rsidRDefault="00C87AE2" w:rsidP="00C87AE2">
      <w:pPr>
        <w:pStyle w:val="StandardWeb"/>
        <w:spacing w:before="0" w:beforeAutospacing="0" w:after="0" w:afterAutospacing="0"/>
        <w:rPr>
          <w:rStyle w:val="Hyperlink"/>
          <w:rFonts w:asciiTheme="minorHAnsi" w:eastAsia="Arial" w:hAnsiTheme="minorHAnsi" w:cstheme="minorHAnsi"/>
          <w:color w:val="000000"/>
        </w:rPr>
      </w:pPr>
    </w:p>
    <w:p w:rsidR="00C87AE2" w:rsidRDefault="00C87AE2" w:rsidP="00C87AE2">
      <w:pPr>
        <w:pStyle w:val="StandardWeb"/>
        <w:spacing w:before="0" w:beforeAutospacing="0" w:after="0" w:afterAutospacing="0"/>
        <w:rPr>
          <w:sz w:val="22"/>
          <w:szCs w:val="22"/>
        </w:rPr>
      </w:pPr>
    </w:p>
    <w:p w:rsidR="00C87AE2" w:rsidRDefault="00C87AE2" w:rsidP="00C87AE2">
      <w:pPr>
        <w:pStyle w:val="StandardWeb"/>
        <w:spacing w:before="0" w:beforeAutospacing="0" w:after="0" w:afterAutospacing="0"/>
        <w:rPr>
          <w:sz w:val="22"/>
          <w:szCs w:val="22"/>
        </w:rPr>
      </w:pPr>
      <w:r>
        <w:rPr>
          <w:rFonts w:ascii="Calibri" w:hAnsi="Calibri" w:cs="Calibri"/>
          <w:b/>
          <w:bCs/>
          <w:color w:val="0099CC"/>
          <w:sz w:val="22"/>
          <w:szCs w:val="22"/>
        </w:rPr>
        <w:t>Digitales Demenzregister Bayern - digiDEM Bayern</w:t>
      </w:r>
    </w:p>
    <w:p w:rsidR="00C87AE2" w:rsidRDefault="00C87AE2" w:rsidP="00C87AE2">
      <w:pPr>
        <w:pStyle w:val="StandardWeb"/>
        <w:spacing w:before="0" w:beforeAutospacing="0" w:after="0" w:afterAutospacing="0"/>
        <w:rPr>
          <w:sz w:val="22"/>
          <w:szCs w:val="22"/>
        </w:rPr>
      </w:pPr>
      <w:r>
        <w:rPr>
          <w:sz w:val="22"/>
          <w:szCs w:val="22"/>
        </w:rPr>
        <w:t> </w:t>
      </w:r>
    </w:p>
    <w:p w:rsidR="00C87AE2" w:rsidRDefault="00C87AE2" w:rsidP="00C87AE2">
      <w:pPr>
        <w:pStyle w:val="StandardWeb"/>
        <w:spacing w:before="0" w:beforeAutospacing="0" w:after="0" w:afterAutospacing="0"/>
        <w:rPr>
          <w:sz w:val="22"/>
          <w:szCs w:val="22"/>
        </w:rPr>
      </w:pPr>
      <w:r>
        <w:rPr>
          <w:rFonts w:ascii="Calibri" w:hAnsi="Calibri" w:cs="Calibri"/>
          <w:color w:val="0099CC"/>
          <w:sz w:val="22"/>
          <w:szCs w:val="22"/>
        </w:rPr>
        <w:t>Interdisziplinäres Zentrum für Health Technology Assessment (HTA) und Public Health</w:t>
      </w:r>
      <w:r>
        <w:rPr>
          <w:rFonts w:ascii="Calibri" w:hAnsi="Calibri" w:cs="Calibri"/>
          <w:color w:val="0099CC"/>
          <w:sz w:val="22"/>
          <w:szCs w:val="22"/>
        </w:rPr>
        <w:br/>
        <w:t>Friedrich-Alexander-Universität Erlangen-Nürnberg (IZPH)</w:t>
      </w:r>
      <w:r>
        <w:rPr>
          <w:rFonts w:ascii="Calibri" w:hAnsi="Calibri" w:cs="Calibri"/>
          <w:color w:val="0099CC"/>
          <w:sz w:val="22"/>
          <w:szCs w:val="22"/>
        </w:rPr>
        <w:br/>
        <w:t>Nationales Spitzencluster ‚Exzellenzzentrum für Medizintechnik – Medical Valley EMN‘</w:t>
      </w:r>
    </w:p>
    <w:p w:rsidR="00C87AE2" w:rsidRDefault="00C87AE2" w:rsidP="00C87AE2">
      <w:pPr>
        <w:pStyle w:val="StandardWeb"/>
        <w:spacing w:before="0" w:beforeAutospacing="0" w:after="0" w:afterAutospacing="0"/>
        <w:rPr>
          <w:rFonts w:ascii="Calibri" w:hAnsi="Calibri" w:cs="Calibri"/>
          <w:color w:val="0099CC"/>
          <w:sz w:val="22"/>
          <w:szCs w:val="22"/>
        </w:rPr>
      </w:pPr>
      <w:proofErr w:type="spellStart"/>
      <w:r>
        <w:rPr>
          <w:rFonts w:ascii="Calibri" w:hAnsi="Calibri" w:cs="Calibri"/>
          <w:color w:val="0099CC"/>
          <w:sz w:val="22"/>
          <w:szCs w:val="22"/>
        </w:rPr>
        <w:t>Schwabachanlage</w:t>
      </w:r>
      <w:proofErr w:type="spellEnd"/>
      <w:r>
        <w:rPr>
          <w:rFonts w:ascii="Calibri" w:hAnsi="Calibri" w:cs="Calibri"/>
          <w:color w:val="0099CC"/>
          <w:sz w:val="22"/>
          <w:szCs w:val="22"/>
        </w:rPr>
        <w:t xml:space="preserve"> 6</w:t>
      </w:r>
    </w:p>
    <w:p w:rsidR="009A13ED" w:rsidRDefault="00C87AE2" w:rsidP="00C87AE2">
      <w:pPr>
        <w:jc w:val="both"/>
        <w:rPr>
          <w:rFonts w:ascii="Calibri" w:eastAsia="Arial" w:hAnsi="Calibri" w:cs="Arial"/>
          <w:szCs w:val="20"/>
        </w:rPr>
      </w:pPr>
      <w:r>
        <w:rPr>
          <w:rFonts w:ascii="Calibri" w:hAnsi="Calibri" w:cs="Calibri"/>
          <w:color w:val="0099CC"/>
          <w:sz w:val="22"/>
          <w:szCs w:val="22"/>
        </w:rPr>
        <w:lastRenderedPageBreak/>
        <w:t>91054 Erlangen</w:t>
      </w:r>
    </w:p>
    <w:p w:rsidR="009A13ED" w:rsidRDefault="009A13ED">
      <w:pPr>
        <w:jc w:val="both"/>
        <w:rPr>
          <w:rFonts w:ascii="Calibri" w:eastAsia="Arial" w:hAnsi="Calibri" w:cs="Arial"/>
          <w:szCs w:val="20"/>
        </w:rPr>
      </w:pPr>
    </w:p>
    <w:p w:rsidR="009A13ED" w:rsidRDefault="00C2292C">
      <w:pPr>
        <w:pBdr>
          <w:top w:val="none" w:sz="4" w:space="0" w:color="000000"/>
          <w:left w:val="none" w:sz="4" w:space="0" w:color="000000"/>
          <w:bottom w:val="none" w:sz="4" w:space="0" w:color="000000"/>
          <w:right w:val="none" w:sz="4" w:space="0" w:color="000000"/>
        </w:pBdr>
        <w:spacing w:after="200" w:line="253" w:lineRule="atLeast"/>
        <w:rPr>
          <w:rFonts w:ascii="Arial" w:eastAsia="Arial" w:hAnsi="Arial" w:cs="Arial"/>
          <w:color w:val="000000"/>
          <w:sz w:val="22"/>
        </w:rPr>
      </w:pPr>
      <w:r>
        <w:rPr>
          <w:rFonts w:ascii="Arial" w:eastAsia="Arial" w:hAnsi="Arial" w:cs="Arial"/>
          <w:color w:val="000000"/>
          <w:sz w:val="22"/>
        </w:rPr>
        <w:t> </w:t>
      </w:r>
    </w:p>
    <w:p w:rsidR="009A13ED" w:rsidRDefault="00C2292C">
      <w:pPr>
        <w:pBdr>
          <w:top w:val="none" w:sz="4" w:space="0" w:color="000000"/>
          <w:left w:val="none" w:sz="4" w:space="0" w:color="000000"/>
          <w:bottom w:val="none" w:sz="4" w:space="0" w:color="000000"/>
          <w:right w:val="none" w:sz="4" w:space="0" w:color="000000"/>
        </w:pBdr>
        <w:spacing w:after="200" w:line="253" w:lineRule="atLeast"/>
        <w:rPr>
          <w:rFonts w:ascii="Arial" w:eastAsia="Arial" w:hAnsi="Arial" w:cs="Arial"/>
          <w:color w:val="000000"/>
          <w:sz w:val="22"/>
        </w:rPr>
      </w:pPr>
      <w:r>
        <w:rPr>
          <w:rFonts w:ascii="Arial" w:eastAsia="Arial" w:hAnsi="Arial" w:cs="Arial"/>
          <w:b/>
          <w:color w:val="000000"/>
          <w:sz w:val="22"/>
          <w:u w:val="single"/>
        </w:rPr>
        <w:t>Über digiDEM Bayern:</w:t>
      </w:r>
    </w:p>
    <w:p w:rsidR="009A13ED" w:rsidRDefault="009A13ED">
      <w:pPr>
        <w:spacing w:line="240" w:lineRule="auto"/>
        <w:jc w:val="both"/>
        <w:rPr>
          <w:rFonts w:asciiTheme="minorHAnsi" w:hAnsiTheme="minorHAnsi" w:cstheme="minorHAnsi"/>
          <w:sz w:val="24"/>
        </w:rPr>
      </w:pPr>
    </w:p>
    <w:p w:rsidR="009A13ED" w:rsidRDefault="00C2292C">
      <w:pPr>
        <w:spacing w:line="240" w:lineRule="auto"/>
        <w:rPr>
          <w:rFonts w:asciiTheme="minorHAnsi" w:hAnsiTheme="minorHAnsi" w:cstheme="minorHAnsi"/>
          <w:sz w:val="24"/>
        </w:rPr>
      </w:pPr>
      <w:r>
        <w:rPr>
          <w:rFonts w:asciiTheme="minorHAnsi" w:hAnsiTheme="minorHAnsi" w:cstheme="minorHAnsi"/>
          <w:sz w:val="24"/>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rsidR="009A13ED" w:rsidRDefault="009A13ED">
      <w:pPr>
        <w:spacing w:line="240" w:lineRule="auto"/>
        <w:rPr>
          <w:rFonts w:asciiTheme="minorHAnsi" w:hAnsiTheme="minorHAnsi" w:cstheme="minorHAnsi"/>
          <w:sz w:val="24"/>
        </w:rPr>
      </w:pPr>
    </w:p>
    <w:p w:rsidR="009A13ED" w:rsidRDefault="00C2292C">
      <w:pPr>
        <w:spacing w:line="240" w:lineRule="auto"/>
        <w:rPr>
          <w:rFonts w:asciiTheme="minorHAnsi" w:hAnsiTheme="minorHAnsi" w:cstheme="minorHAnsi"/>
          <w:sz w:val="24"/>
        </w:rPr>
      </w:pPr>
      <w:r>
        <w:rPr>
          <w:rFonts w:asciiTheme="minorHAnsi" w:hAnsiTheme="minorHAnsi" w:cstheme="minorHAnsi"/>
          <w:sz w:val="24"/>
        </w:rPr>
        <w:t>Darüber hinaus entwickelt digiDEM Bayern digitale Angebote f</w:t>
      </w:r>
      <w:r>
        <w:rPr>
          <w:rFonts w:asciiTheme="minorHAnsi" w:hAnsiTheme="minorHAnsi" w:cstheme="minorHAnsi" w:hint="eastAsia"/>
          <w:sz w:val="24"/>
        </w:rPr>
        <w:t>ü</w:t>
      </w:r>
      <w:r>
        <w:rPr>
          <w:rFonts w:asciiTheme="minorHAnsi" w:hAnsiTheme="minorHAnsi" w:cstheme="minorHAnsi"/>
          <w:sz w:val="24"/>
        </w:rPr>
        <w:t>r Menschen mit kognitiven Einschr</w:t>
      </w:r>
      <w:r>
        <w:rPr>
          <w:rFonts w:asciiTheme="minorHAnsi" w:hAnsiTheme="minorHAnsi" w:cstheme="minorHAnsi" w:hint="eastAsia"/>
          <w:sz w:val="24"/>
        </w:rPr>
        <w:t>ä</w:t>
      </w:r>
      <w:r>
        <w:rPr>
          <w:rFonts w:asciiTheme="minorHAnsi" w:hAnsiTheme="minorHAnsi" w:cstheme="minorHAnsi"/>
          <w:sz w:val="24"/>
        </w:rPr>
        <w:t>nkungen und Demenz sowie f</w:t>
      </w:r>
      <w:r>
        <w:rPr>
          <w:rFonts w:asciiTheme="minorHAnsi" w:hAnsiTheme="minorHAnsi" w:cstheme="minorHAnsi" w:hint="eastAsia"/>
          <w:sz w:val="24"/>
        </w:rPr>
        <w:t>ü</w:t>
      </w:r>
      <w:r>
        <w:rPr>
          <w:rFonts w:asciiTheme="minorHAnsi" w:hAnsiTheme="minorHAnsi" w:cstheme="minorHAnsi"/>
          <w:sz w:val="24"/>
        </w:rPr>
        <w:t>r pflegende Angeh</w:t>
      </w:r>
      <w:r>
        <w:rPr>
          <w:rFonts w:asciiTheme="minorHAnsi" w:hAnsiTheme="minorHAnsi" w:cstheme="minorHAnsi" w:hint="eastAsia"/>
          <w:sz w:val="24"/>
        </w:rPr>
        <w:t>ö</w:t>
      </w:r>
      <w:r>
        <w:rPr>
          <w:rFonts w:asciiTheme="minorHAnsi" w:hAnsiTheme="minorHAnsi" w:cstheme="minorHAnsi"/>
          <w:sz w:val="24"/>
        </w:rPr>
        <w:t>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w:t>
      </w:r>
    </w:p>
    <w:p w:rsidR="009A13ED" w:rsidRDefault="009A13ED">
      <w:pPr>
        <w:rPr>
          <w:rFonts w:ascii="Calibri" w:eastAsia="Arial" w:hAnsi="Calibri" w:cs="Arial"/>
          <w:szCs w:val="20"/>
        </w:rPr>
      </w:pPr>
    </w:p>
    <w:p w:rsidR="009A13ED" w:rsidRDefault="00C2292C">
      <w:pPr>
        <w:rPr>
          <w:rFonts w:ascii="Calibri" w:eastAsia="Arial" w:hAnsi="Calibri" w:cs="Arial"/>
          <w:szCs w:val="20"/>
        </w:rPr>
      </w:pPr>
      <w:r>
        <w:rPr>
          <w:rFonts w:asciiTheme="minorHAnsi" w:hAnsiTheme="minorHAnsi" w:cstheme="minorHAnsi"/>
          <w:sz w:val="24"/>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w:t>
      </w:r>
    </w:p>
    <w:sectPr w:rsidR="009A13E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ED" w:rsidRDefault="00C2292C">
      <w:pPr>
        <w:spacing w:line="240" w:lineRule="auto"/>
      </w:pPr>
      <w:r>
        <w:separator/>
      </w:r>
    </w:p>
  </w:endnote>
  <w:endnote w:type="continuationSeparator" w:id="0">
    <w:p w:rsidR="009A13ED" w:rsidRDefault="00C22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norm">
    <w:altName w:val="72"/>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72"/>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D" w:rsidRDefault="00C2292C">
    <w:pPr>
      <w:pStyle w:val="Fuzeile"/>
    </w:pPr>
    <w:r>
      <w:rPr>
        <w:noProof/>
      </w:rPr>
      <mc:AlternateContent>
        <mc:Choice Requires="wpg">
          <w:drawing>
            <wp:anchor distT="0" distB="0" distL="114300" distR="114300" simplePos="0" relativeHeight="251664384" behindDoc="0" locked="0" layoutInCell="1" allowOverlap="1">
              <wp:simplePos x="0" y="0"/>
              <wp:positionH relativeFrom="column">
                <wp:posOffset>4824729</wp:posOffset>
              </wp:positionH>
              <wp:positionV relativeFrom="paragraph">
                <wp:posOffset>100962</wp:posOffset>
              </wp:positionV>
              <wp:extent cx="1638294" cy="393059"/>
              <wp:effectExtent l="0" t="0" r="0" b="6984"/>
              <wp:wrapThrough wrapText="bothSides">
                <wp:wrapPolygon edited="1">
                  <wp:start x="0" y="0"/>
                  <wp:lineTo x="0" y="20926"/>
                  <wp:lineTo x="21348" y="20926"/>
                  <wp:lineTo x="21348" y="0"/>
                  <wp:lineTo x="0" y="0"/>
                </wp:wrapPolygon>
              </wp:wrapThrough>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tmgp_gefoerdert_durch_4c.jpg"/>
                      <pic:cNvPicPr>
                        <a:picLocks noChangeAspect="1"/>
                      </pic:cNvPicPr>
                    </pic:nvPicPr>
                    <pic:blipFill>
                      <a:blip r:embed="rId1"/>
                      <a:stretch/>
                    </pic:blipFill>
                    <pic:spPr bwMode="auto">
                      <a:xfrm>
                        <a:off x="0" y="0"/>
                        <a:ext cx="1638300" cy="39306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4384;o:allowoverlap:true;o:allowincell:true;mso-position-horizontal-relative:text;margin-left:379.9pt;mso-position-horizontal:absolute;mso-position-vertical-relative:text;margin-top:7.9pt;mso-position-vertical:absolute;width:129.0pt;height:30.9pt;" wrapcoords="0 0 0 96880 98833 96880 98833 0 0 0" stroked="false">
              <v:path textboxrect="0,0,0,0"/>
              <v:imagedata r:id="rId2" o:title=""/>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2405376</wp:posOffset>
              </wp:positionH>
              <wp:positionV relativeFrom="paragraph">
                <wp:posOffset>117469</wp:posOffset>
              </wp:positionV>
              <wp:extent cx="685800" cy="457200"/>
              <wp:effectExtent l="0" t="0" r="0" b="0"/>
              <wp:wrapThrough wrapText="bothSides">
                <wp:wrapPolygon edited="1">
                  <wp:start x="4789" y="900"/>
                  <wp:lineTo x="0" y="8089"/>
                  <wp:lineTo x="0" y="19789"/>
                  <wp:lineTo x="20997" y="19789"/>
                  <wp:lineTo x="20997" y="5400"/>
                  <wp:lineTo x="7200" y="900"/>
                  <wp:lineTo x="4789" y="900"/>
                </wp:wrapPolygon>
              </wp:wrapThrough>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al valley.png"/>
                      <pic:cNvPicPr>
                        <a:picLocks noChangeAspect="1"/>
                      </pic:cNvPicPr>
                    </pic:nvPicPr>
                    <pic:blipFill>
                      <a:blip r:embed="rId3"/>
                      <a:stretch/>
                    </pic:blipFill>
                    <pic:spPr bwMode="auto">
                      <a:xfrm>
                        <a:off x="0" y="0"/>
                        <a:ext cx="685800" cy="4572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0288;o:allowoverlap:true;o:allowincell:true;mso-position-horizontal-relative:text;margin-left:189.4pt;mso-position-horizontal:absolute;mso-position-vertical-relative:text;margin-top:9.2pt;mso-position-vertical:absolute;width:54.0pt;height:36.0pt;" wrapcoords="22171 4167 0 37449 0 91616 97208 91616 97208 25000 33333 4167 22171 4167" stroked="false">
              <v:path textboxrect="0,0,0,0"/>
              <v:imagedata r:id="rId4" o:title=""/>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-480689</wp:posOffset>
              </wp:positionH>
              <wp:positionV relativeFrom="paragraph">
                <wp:posOffset>138429</wp:posOffset>
              </wp:positionV>
              <wp:extent cx="1137285" cy="398142"/>
              <wp:effectExtent l="0" t="0" r="5715" b="1899"/>
              <wp:wrapThrough wrapText="bothSides">
                <wp:wrapPolygon edited="1">
                  <wp:start x="0" y="0"/>
                  <wp:lineTo x="0" y="20658"/>
                  <wp:lineTo x="21339" y="20658"/>
                  <wp:lineTo x="21339" y="0"/>
                  <wp:lineTo x="0" y="0"/>
                </wp:wrapPolygon>
              </wp:wrapThrough>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Z Demenzlogo 4c.jpg"/>
                      <pic:cNvPicPr>
                        <a:picLocks noChangeAspect="1"/>
                      </pic:cNvPicPr>
                    </pic:nvPicPr>
                    <pic:blipFill>
                      <a:blip r:embed="rId5"/>
                      <a:stretch/>
                    </pic:blipFill>
                    <pic:spPr bwMode="auto">
                      <a:xfrm>
                        <a:off x="0" y="0"/>
                        <a:ext cx="1137285" cy="39814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5408;o:allowoverlap:true;o:allowincell:true;mso-position-horizontal-relative:text;margin-left:-37.8pt;mso-position-horizontal:absolute;mso-position-vertical-relative:text;margin-top:10.9pt;mso-position-vertical:absolute;width:89.5pt;height:31.3pt;" wrapcoords="0 0 0 95639 98792 95639 98792 0 0 0" stroked="false">
              <v:path textboxrect="0,0,0,0"/>
              <v:imagedata r:id="rId6" o:title=""/>
            </v:shape>
          </w:pict>
        </mc:Fallback>
      </mc:AlternateContent>
    </w:r>
  </w:p>
  <w:p w:rsidR="009A13ED" w:rsidRDefault="00C2292C">
    <w:pPr>
      <w:pStyle w:val="Fuzeile"/>
      <w:tabs>
        <w:tab w:val="left" w:pos="4290"/>
      </w:tabs>
    </w:pPr>
    <w:r>
      <w:rPr>
        <w:noProof/>
      </w:rPr>
      <mc:AlternateContent>
        <mc:Choice Requires="wpg">
          <w:drawing>
            <wp:anchor distT="0" distB="0" distL="114300" distR="114300" simplePos="0" relativeHeight="251661312" behindDoc="0" locked="0" layoutInCell="1" allowOverlap="1">
              <wp:simplePos x="0" y="0"/>
              <wp:positionH relativeFrom="column">
                <wp:posOffset>3557899</wp:posOffset>
              </wp:positionH>
              <wp:positionV relativeFrom="paragraph">
                <wp:posOffset>16506</wp:posOffset>
              </wp:positionV>
              <wp:extent cx="1098549" cy="275589"/>
              <wp:effectExtent l="0" t="0" r="6345" b="0"/>
              <wp:wrapThrough wrapText="bothSides">
                <wp:wrapPolygon edited="1">
                  <wp:start x="17226" y="0"/>
                  <wp:lineTo x="0" y="4473"/>
                  <wp:lineTo x="0" y="19404"/>
                  <wp:lineTo x="17226" y="19404"/>
                  <wp:lineTo x="20590" y="19404"/>
                  <wp:lineTo x="21348" y="14922"/>
                  <wp:lineTo x="21348" y="5961"/>
                  <wp:lineTo x="20590" y="0"/>
                  <wp:lineTo x="17226" y="0"/>
                </wp:wrapPolygon>
              </wp:wrapThrough>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ER.svg.png"/>
                      <pic:cNvPicPr>
                        <a:picLocks noChangeAspect="1"/>
                      </pic:cNvPicPr>
                    </pic:nvPicPr>
                    <pic:blipFill>
                      <a:blip r:embed="rId7"/>
                      <a:stretch/>
                    </pic:blipFill>
                    <pic:spPr bwMode="auto">
                      <a:xfrm>
                        <a:off x="0" y="0"/>
                        <a:ext cx="1098550" cy="27559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61312;o:allowoverlap:true;o:allowincell:true;mso-position-horizontal-relative:text;margin-left:280.1pt;mso-position-horizontal:absolute;mso-position-vertical-relative:text;margin-top:1.3pt;mso-position-vertical:absolute;width:86.5pt;height:21.7pt;" wrapcoords="79750 0 0 20708 0 89833 79750 89833 95324 89833 98833 69083 98833 27597 95324 0 79750 0" stroked="false">
              <v:path textboxrect="0,0,0,0"/>
              <v:imagedata r:id="rId8" o:title=""/>
            </v:shape>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margin">
                <wp:posOffset>1024254</wp:posOffset>
              </wp:positionH>
              <wp:positionV relativeFrom="paragraph">
                <wp:posOffset>78102</wp:posOffset>
              </wp:positionV>
              <wp:extent cx="857250" cy="196848"/>
              <wp:effectExtent l="0" t="0" r="0" b="0"/>
              <wp:wrapThrough wrapText="bothSides">
                <wp:wrapPolygon edited="1">
                  <wp:start x="0" y="0"/>
                  <wp:lineTo x="0" y="18810"/>
                  <wp:lineTo x="21108" y="18810"/>
                  <wp:lineTo x="21108" y="4170"/>
                  <wp:lineTo x="10549" y="0"/>
                  <wp:lineTo x="0" y="0"/>
                </wp:wrapPolygon>
              </wp:wrapThrough>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iedrich-Alexander-Universität_Erlangen-Nürnberg_logo.svg.png"/>
                      <pic:cNvPicPr>
                        <a:picLocks noChangeAspect="1"/>
                      </pic:cNvPicPr>
                    </pic:nvPicPr>
                    <pic:blipFill>
                      <a:blip r:embed="rId9"/>
                      <a:stretch/>
                    </pic:blipFill>
                    <pic:spPr bwMode="auto">
                      <a:xfrm>
                        <a:off x="0" y="0"/>
                        <a:ext cx="857250" cy="196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62336;o:allowoverlap:true;o:allowincell:true;mso-position-horizontal-relative:margin;margin-left:80.6pt;mso-position-horizontal:absolute;mso-position-vertical-relative:text;margin-top:6.1pt;mso-position-vertical:absolute;width:67.5pt;height:15.5pt;" wrapcoords="0 0 0 87083 97722 87083 97722 19306 48838 0 0 0" stroked="false">
              <v:path textboxrect="0,0,0,0"/>
              <v:imagedata r:id="rId10" o:title=""/>
            </v:shape>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ED" w:rsidRDefault="00C2292C">
      <w:pPr>
        <w:spacing w:line="240" w:lineRule="auto"/>
      </w:pPr>
      <w:r>
        <w:separator/>
      </w:r>
    </w:p>
  </w:footnote>
  <w:footnote w:type="continuationSeparator" w:id="0">
    <w:p w:rsidR="009A13ED" w:rsidRDefault="00C22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D" w:rsidRDefault="00C2292C">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2C67"/>
    <w:multiLevelType w:val="hybridMultilevel"/>
    <w:tmpl w:val="5C92A330"/>
    <w:lvl w:ilvl="0" w:tplc="DD909C86">
      <w:start w:val="1"/>
      <w:numFmt w:val="bullet"/>
      <w:lvlText w:val="-"/>
      <w:lvlJc w:val="left"/>
      <w:pPr>
        <w:ind w:left="720" w:hanging="354"/>
      </w:pPr>
      <w:rPr>
        <w:rFonts w:ascii="Calibri" w:eastAsia="Times New Roman" w:hAnsi="Calibri" w:cs="Calibri" w:hint="default"/>
      </w:rPr>
    </w:lvl>
    <w:lvl w:ilvl="1" w:tplc="2A8221DA">
      <w:start w:val="1"/>
      <w:numFmt w:val="bullet"/>
      <w:lvlText w:val="o"/>
      <w:lvlJc w:val="left"/>
      <w:pPr>
        <w:ind w:left="1440" w:hanging="354"/>
      </w:pPr>
      <w:rPr>
        <w:rFonts w:ascii="Courier New" w:hAnsi="Courier New" w:cs="Courier New" w:hint="default"/>
      </w:rPr>
    </w:lvl>
    <w:lvl w:ilvl="2" w:tplc="F192F104">
      <w:start w:val="1"/>
      <w:numFmt w:val="bullet"/>
      <w:lvlText w:val=""/>
      <w:lvlJc w:val="left"/>
      <w:pPr>
        <w:ind w:left="2160" w:hanging="354"/>
      </w:pPr>
      <w:rPr>
        <w:rFonts w:ascii="Wingdings" w:hAnsi="Wingdings" w:hint="default"/>
      </w:rPr>
    </w:lvl>
    <w:lvl w:ilvl="3" w:tplc="B12C57B8">
      <w:start w:val="1"/>
      <w:numFmt w:val="bullet"/>
      <w:lvlText w:val=""/>
      <w:lvlJc w:val="left"/>
      <w:pPr>
        <w:ind w:left="2880" w:hanging="354"/>
      </w:pPr>
      <w:rPr>
        <w:rFonts w:ascii="Symbol" w:hAnsi="Symbol" w:hint="default"/>
      </w:rPr>
    </w:lvl>
    <w:lvl w:ilvl="4" w:tplc="B030A044">
      <w:start w:val="1"/>
      <w:numFmt w:val="bullet"/>
      <w:lvlText w:val="o"/>
      <w:lvlJc w:val="left"/>
      <w:pPr>
        <w:ind w:left="3600" w:hanging="354"/>
      </w:pPr>
      <w:rPr>
        <w:rFonts w:ascii="Courier New" w:hAnsi="Courier New" w:cs="Courier New" w:hint="default"/>
      </w:rPr>
    </w:lvl>
    <w:lvl w:ilvl="5" w:tplc="DC38051A">
      <w:start w:val="1"/>
      <w:numFmt w:val="bullet"/>
      <w:lvlText w:val=""/>
      <w:lvlJc w:val="left"/>
      <w:pPr>
        <w:ind w:left="4320" w:hanging="354"/>
      </w:pPr>
      <w:rPr>
        <w:rFonts w:ascii="Wingdings" w:hAnsi="Wingdings" w:hint="default"/>
      </w:rPr>
    </w:lvl>
    <w:lvl w:ilvl="6" w:tplc="0602C07E">
      <w:start w:val="1"/>
      <w:numFmt w:val="bullet"/>
      <w:lvlText w:val=""/>
      <w:lvlJc w:val="left"/>
      <w:pPr>
        <w:ind w:left="5040" w:hanging="354"/>
      </w:pPr>
      <w:rPr>
        <w:rFonts w:ascii="Symbol" w:hAnsi="Symbol" w:hint="default"/>
      </w:rPr>
    </w:lvl>
    <w:lvl w:ilvl="7" w:tplc="5D7CF050">
      <w:start w:val="1"/>
      <w:numFmt w:val="bullet"/>
      <w:lvlText w:val="o"/>
      <w:lvlJc w:val="left"/>
      <w:pPr>
        <w:ind w:left="5760" w:hanging="354"/>
      </w:pPr>
      <w:rPr>
        <w:rFonts w:ascii="Courier New" w:hAnsi="Courier New" w:cs="Courier New" w:hint="default"/>
      </w:rPr>
    </w:lvl>
    <w:lvl w:ilvl="8" w:tplc="C40A65C4">
      <w:start w:val="1"/>
      <w:numFmt w:val="bullet"/>
      <w:lvlText w:val=""/>
      <w:lvlJc w:val="left"/>
      <w:pPr>
        <w:ind w:left="6480" w:hanging="354"/>
      </w:pPr>
      <w:rPr>
        <w:rFonts w:ascii="Wingdings" w:hAnsi="Wingdings" w:hint="default"/>
      </w:rPr>
    </w:lvl>
  </w:abstractNum>
  <w:abstractNum w:abstractNumId="1" w15:restartNumberingAfterBreak="0">
    <w:nsid w:val="43FA050A"/>
    <w:multiLevelType w:val="hybridMultilevel"/>
    <w:tmpl w:val="1EDA1BE0"/>
    <w:lvl w:ilvl="0" w:tplc="CE52DAB2">
      <w:start w:val="1"/>
      <w:numFmt w:val="bullet"/>
      <w:lvlText w:val="-"/>
      <w:lvlJc w:val="left"/>
      <w:pPr>
        <w:ind w:left="720" w:hanging="354"/>
      </w:pPr>
      <w:rPr>
        <w:rFonts w:ascii="Calibri" w:eastAsia="Times New Roman" w:hAnsi="Calibri" w:cs="Calibri" w:hint="default"/>
      </w:rPr>
    </w:lvl>
    <w:lvl w:ilvl="1" w:tplc="A198C710">
      <w:start w:val="1"/>
      <w:numFmt w:val="bullet"/>
      <w:lvlText w:val="o"/>
      <w:lvlJc w:val="left"/>
      <w:pPr>
        <w:ind w:left="1440" w:hanging="354"/>
      </w:pPr>
      <w:rPr>
        <w:rFonts w:ascii="Courier New" w:hAnsi="Courier New" w:cs="Courier New" w:hint="default"/>
      </w:rPr>
    </w:lvl>
    <w:lvl w:ilvl="2" w:tplc="57ACEDD4">
      <w:start w:val="1"/>
      <w:numFmt w:val="bullet"/>
      <w:lvlText w:val=""/>
      <w:lvlJc w:val="left"/>
      <w:pPr>
        <w:ind w:left="2160" w:hanging="354"/>
      </w:pPr>
      <w:rPr>
        <w:rFonts w:ascii="Wingdings" w:hAnsi="Wingdings" w:hint="default"/>
      </w:rPr>
    </w:lvl>
    <w:lvl w:ilvl="3" w:tplc="87C05382">
      <w:start w:val="1"/>
      <w:numFmt w:val="bullet"/>
      <w:lvlText w:val=""/>
      <w:lvlJc w:val="left"/>
      <w:pPr>
        <w:ind w:left="2880" w:hanging="354"/>
      </w:pPr>
      <w:rPr>
        <w:rFonts w:ascii="Symbol" w:hAnsi="Symbol" w:hint="default"/>
      </w:rPr>
    </w:lvl>
    <w:lvl w:ilvl="4" w:tplc="3C92278E">
      <w:start w:val="1"/>
      <w:numFmt w:val="bullet"/>
      <w:lvlText w:val="o"/>
      <w:lvlJc w:val="left"/>
      <w:pPr>
        <w:ind w:left="3600" w:hanging="354"/>
      </w:pPr>
      <w:rPr>
        <w:rFonts w:ascii="Courier New" w:hAnsi="Courier New" w:cs="Courier New" w:hint="default"/>
      </w:rPr>
    </w:lvl>
    <w:lvl w:ilvl="5" w:tplc="CB6EC0DC">
      <w:start w:val="1"/>
      <w:numFmt w:val="bullet"/>
      <w:lvlText w:val=""/>
      <w:lvlJc w:val="left"/>
      <w:pPr>
        <w:ind w:left="4320" w:hanging="354"/>
      </w:pPr>
      <w:rPr>
        <w:rFonts w:ascii="Wingdings" w:hAnsi="Wingdings" w:hint="default"/>
      </w:rPr>
    </w:lvl>
    <w:lvl w:ilvl="6" w:tplc="6FCA11CE">
      <w:start w:val="1"/>
      <w:numFmt w:val="bullet"/>
      <w:lvlText w:val=""/>
      <w:lvlJc w:val="left"/>
      <w:pPr>
        <w:ind w:left="5040" w:hanging="354"/>
      </w:pPr>
      <w:rPr>
        <w:rFonts w:ascii="Symbol" w:hAnsi="Symbol" w:hint="default"/>
      </w:rPr>
    </w:lvl>
    <w:lvl w:ilvl="7" w:tplc="63C881CC">
      <w:start w:val="1"/>
      <w:numFmt w:val="bullet"/>
      <w:lvlText w:val="o"/>
      <w:lvlJc w:val="left"/>
      <w:pPr>
        <w:ind w:left="5760" w:hanging="354"/>
      </w:pPr>
      <w:rPr>
        <w:rFonts w:ascii="Courier New" w:hAnsi="Courier New" w:cs="Courier New" w:hint="default"/>
      </w:rPr>
    </w:lvl>
    <w:lvl w:ilvl="8" w:tplc="110C4194">
      <w:start w:val="1"/>
      <w:numFmt w:val="bullet"/>
      <w:lvlText w:val=""/>
      <w:lvlJc w:val="left"/>
      <w:pPr>
        <w:ind w:left="6480" w:hanging="354"/>
      </w:pPr>
      <w:rPr>
        <w:rFonts w:ascii="Wingdings" w:hAnsi="Wingdings" w:hint="default"/>
      </w:rPr>
    </w:lvl>
  </w:abstractNum>
  <w:abstractNum w:abstractNumId="2" w15:restartNumberingAfterBreak="0">
    <w:nsid w:val="499B1624"/>
    <w:multiLevelType w:val="hybridMultilevel"/>
    <w:tmpl w:val="26C854E4"/>
    <w:lvl w:ilvl="0" w:tplc="47B8ABE8">
      <w:start w:val="1"/>
      <w:numFmt w:val="bullet"/>
      <w:lvlText w:val=""/>
      <w:lvlJc w:val="left"/>
      <w:pPr>
        <w:ind w:left="720" w:hanging="354"/>
      </w:pPr>
      <w:rPr>
        <w:rFonts w:ascii="Symbol" w:hAnsi="Symbol" w:hint="default"/>
      </w:rPr>
    </w:lvl>
    <w:lvl w:ilvl="1" w:tplc="5B961596">
      <w:start w:val="1"/>
      <w:numFmt w:val="bullet"/>
      <w:lvlText w:val="o"/>
      <w:lvlJc w:val="left"/>
      <w:pPr>
        <w:ind w:left="1440" w:hanging="354"/>
      </w:pPr>
      <w:rPr>
        <w:rFonts w:ascii="Courier New" w:hAnsi="Courier New" w:cs="Courier New" w:hint="default"/>
      </w:rPr>
    </w:lvl>
    <w:lvl w:ilvl="2" w:tplc="6BFC4144">
      <w:start w:val="1"/>
      <w:numFmt w:val="bullet"/>
      <w:lvlText w:val=""/>
      <w:lvlJc w:val="left"/>
      <w:pPr>
        <w:ind w:left="2160" w:hanging="354"/>
      </w:pPr>
      <w:rPr>
        <w:rFonts w:ascii="Wingdings" w:hAnsi="Wingdings" w:hint="default"/>
      </w:rPr>
    </w:lvl>
    <w:lvl w:ilvl="3" w:tplc="1E724B3C">
      <w:start w:val="1"/>
      <w:numFmt w:val="bullet"/>
      <w:lvlText w:val=""/>
      <w:lvlJc w:val="left"/>
      <w:pPr>
        <w:ind w:left="2880" w:hanging="354"/>
      </w:pPr>
      <w:rPr>
        <w:rFonts w:ascii="Symbol" w:hAnsi="Symbol" w:hint="default"/>
      </w:rPr>
    </w:lvl>
    <w:lvl w:ilvl="4" w:tplc="A40282BA">
      <w:start w:val="1"/>
      <w:numFmt w:val="bullet"/>
      <w:lvlText w:val="o"/>
      <w:lvlJc w:val="left"/>
      <w:pPr>
        <w:ind w:left="3600" w:hanging="354"/>
      </w:pPr>
      <w:rPr>
        <w:rFonts w:ascii="Courier New" w:hAnsi="Courier New" w:cs="Courier New" w:hint="default"/>
      </w:rPr>
    </w:lvl>
    <w:lvl w:ilvl="5" w:tplc="7C180280">
      <w:start w:val="1"/>
      <w:numFmt w:val="bullet"/>
      <w:lvlText w:val=""/>
      <w:lvlJc w:val="left"/>
      <w:pPr>
        <w:ind w:left="4320" w:hanging="354"/>
      </w:pPr>
      <w:rPr>
        <w:rFonts w:ascii="Wingdings" w:hAnsi="Wingdings" w:hint="default"/>
      </w:rPr>
    </w:lvl>
    <w:lvl w:ilvl="6" w:tplc="41F4A5E4">
      <w:start w:val="1"/>
      <w:numFmt w:val="bullet"/>
      <w:lvlText w:val=""/>
      <w:lvlJc w:val="left"/>
      <w:pPr>
        <w:ind w:left="5040" w:hanging="354"/>
      </w:pPr>
      <w:rPr>
        <w:rFonts w:ascii="Symbol" w:hAnsi="Symbol" w:hint="default"/>
      </w:rPr>
    </w:lvl>
    <w:lvl w:ilvl="7" w:tplc="C4B02602">
      <w:start w:val="1"/>
      <w:numFmt w:val="bullet"/>
      <w:lvlText w:val="o"/>
      <w:lvlJc w:val="left"/>
      <w:pPr>
        <w:ind w:left="5760" w:hanging="354"/>
      </w:pPr>
      <w:rPr>
        <w:rFonts w:ascii="Courier New" w:hAnsi="Courier New" w:cs="Courier New" w:hint="default"/>
      </w:rPr>
    </w:lvl>
    <w:lvl w:ilvl="8" w:tplc="9A949BD2">
      <w:start w:val="1"/>
      <w:numFmt w:val="bullet"/>
      <w:lvlText w:val=""/>
      <w:lvlJc w:val="left"/>
      <w:pPr>
        <w:ind w:left="6480" w:hanging="354"/>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D"/>
    <w:rsid w:val="003F3FEA"/>
    <w:rsid w:val="009A13ED"/>
    <w:rsid w:val="00C2292C"/>
    <w:rsid w:val="00C8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AE9B4-3904-4458-8E39-996D8692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dem-bayern.de/" TargetMode="External"/><Relationship Id="rId3" Type="http://schemas.openxmlformats.org/officeDocument/2006/relationships/settings" Target="settings.xml"/><Relationship Id="rId7" Type="http://schemas.openxmlformats.org/officeDocument/2006/relationships/hyperlink" Target="mailto:ilona.hoerath@fa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0.jpg"/><Relationship Id="rId1" Type="http://schemas.openxmlformats.org/officeDocument/2006/relationships/image" Target="media/image2.jpg"/><Relationship Id="rId6" Type="http://schemas.openxmlformats.org/officeDocument/2006/relationships/image" Target="media/image40.jpg"/><Relationship Id="rId5" Type="http://schemas.openxmlformats.org/officeDocument/2006/relationships/image" Target="media/image4.jpg"/><Relationship Id="rId10" Type="http://schemas.openxmlformats.org/officeDocument/2006/relationships/image" Target="media/image60.png"/><Relationship Id="rId4" Type="http://schemas.openxmlformats.org/officeDocument/2006/relationships/image" Target="media/image30.pn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Hörath, Ilona (extern)</dc:creator>
  <cp:lastModifiedBy>Hörath, Ilona (extern)</cp:lastModifiedBy>
  <cp:revision>2</cp:revision>
  <dcterms:created xsi:type="dcterms:W3CDTF">2022-11-07T12:00:00Z</dcterms:created>
  <dcterms:modified xsi:type="dcterms:W3CDTF">2022-11-07T12:00:00Z</dcterms:modified>
</cp:coreProperties>
</file>